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E45088" w:rsidTr="00BF7FC8">
        <w:trPr>
          <w:trHeight w:val="125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E45088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4</w:t>
            </w:r>
          </w:p>
          <w:p w:rsidR="00CC0706" w:rsidRPr="00E45088" w:rsidRDefault="00CC0706" w:rsidP="00CC0706">
            <w:pPr>
              <w:jc w:val="center"/>
              <w:rPr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Exceeds Expectations</w:t>
            </w:r>
          </w:p>
          <w:p w:rsidR="00CC0706" w:rsidRPr="00E45088" w:rsidRDefault="00CC0706" w:rsidP="00CC0706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 Demonstrates with mastery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 xml:space="preserve">3 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Meets Expectations</w:t>
            </w:r>
          </w:p>
          <w:p w:rsidR="00CC0706" w:rsidRPr="00E45088" w:rsidRDefault="00CC0706" w:rsidP="00CC0706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Independently demonstrates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2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Approaching Expectations</w:t>
            </w:r>
          </w:p>
          <w:p w:rsidR="00CC0706" w:rsidRPr="00E45088" w:rsidRDefault="00CC0706" w:rsidP="00CC0706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Demonstrates with support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 xml:space="preserve">1 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Does Not Meet Expectations</w:t>
            </w:r>
          </w:p>
          <w:p w:rsidR="00CC0706" w:rsidRPr="00E45088" w:rsidRDefault="00CC0706" w:rsidP="00CC0706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Not demonstrated at this time</w:t>
            </w:r>
          </w:p>
          <w:p w:rsidR="00CC0706" w:rsidRPr="00E45088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(area of concern)</w:t>
            </w:r>
          </w:p>
        </w:tc>
      </w:tr>
      <w:tr w:rsidR="00454EF0" w:rsidRPr="00E45088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4EF0" w:rsidRPr="00E45088" w:rsidRDefault="00F75F01" w:rsidP="00454EF0">
            <w:pPr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Uses </w:t>
            </w:r>
            <w:r w:rsidR="00454EF0" w:rsidRPr="00E45088">
              <w:rPr>
                <w:sz w:val="20"/>
                <w:szCs w:val="20"/>
              </w:rPr>
              <w:t>scientific inquiry to observe, record, make connections</w:t>
            </w:r>
            <w:r w:rsidR="00E07B43" w:rsidRPr="00E45088">
              <w:rPr>
                <w:sz w:val="20"/>
                <w:szCs w:val="20"/>
              </w:rPr>
              <w:t>,</w:t>
            </w:r>
            <w:r w:rsidR="00454EF0" w:rsidRPr="00E45088">
              <w:rPr>
                <w:sz w:val="20"/>
                <w:szCs w:val="20"/>
              </w:rPr>
              <w:t xml:space="preserve"> and draw conclusions</w:t>
            </w:r>
            <w:r w:rsidR="00D601E3" w:rsidRPr="00E45088">
              <w:rPr>
                <w:sz w:val="20"/>
                <w:szCs w:val="20"/>
              </w:rPr>
              <w:t xml:space="preserve">             Q1-Q4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make predictions based upon prior knowledge, experience, and investigation. Students may begin to hypothesize with teacher guidance (I think this… because…) </w:t>
            </w:r>
          </w:p>
          <w:p w:rsidR="00F75F01" w:rsidRPr="00BB0AB6" w:rsidRDefault="00F75F01" w:rsidP="00F75F01">
            <w:pPr>
              <w:spacing w:line="276" w:lineRule="auto"/>
              <w:rPr>
                <w:sz w:val="16"/>
                <w:szCs w:val="16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can independently record observations using content specific vocabulary and detailed sketches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independently propose explanations about what they observed. They can independently draw relevant conclusions based upon observ</w:t>
            </w:r>
            <w:r w:rsidR="00BB0AB6">
              <w:rPr>
                <w:sz w:val="20"/>
                <w:szCs w:val="20"/>
              </w:rPr>
              <w:t>ations and information gathered</w:t>
            </w:r>
            <w:r w:rsidRPr="00E45088">
              <w:rPr>
                <w:sz w:val="20"/>
                <w:szCs w:val="20"/>
              </w:rPr>
              <w:t xml:space="preserve"> 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454EF0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can independently revise misconceptions and connect learning to real life events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can independently make predictions that are based upon prior knowledge and experience 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Pr="00BB0AB6" w:rsidRDefault="00BB0AB6" w:rsidP="00F75F01">
            <w:pPr>
              <w:spacing w:line="276" w:lineRule="auto"/>
              <w:rPr>
                <w:sz w:val="16"/>
                <w:szCs w:val="16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can record observations using content specific vocabulary and detailed sketches with little guidance 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need little guidance to propose explanations about what they observed. They need less prompting and questioning to draw relevant conclusions based upon observa</w:t>
            </w:r>
            <w:r w:rsidR="00BB0AB6">
              <w:rPr>
                <w:sz w:val="20"/>
                <w:szCs w:val="20"/>
              </w:rPr>
              <w:t>tions and information gathered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454EF0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may alter misconceptions and conclusions when confronted with new evidence or ideas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begin to make predictions that are based on prior knowledge and experience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Pr="00BB0AB6" w:rsidRDefault="00BB0AB6" w:rsidP="00F75F01">
            <w:pPr>
              <w:spacing w:line="276" w:lineRule="auto"/>
              <w:rPr>
                <w:sz w:val="16"/>
                <w:szCs w:val="16"/>
              </w:rPr>
            </w:pPr>
          </w:p>
          <w:p w:rsidR="00F75F01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can record observations using general vocabulary and basic sketches. Needs teacher guidance to include details and include content specific vocab</w:t>
            </w:r>
            <w:r w:rsidR="00BB0AB6">
              <w:rPr>
                <w:sz w:val="20"/>
                <w:szCs w:val="20"/>
              </w:rPr>
              <w:t>ulary</w:t>
            </w:r>
          </w:p>
          <w:p w:rsidR="00BB0AB6" w:rsidRP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need prompting and questioning to draw relevant conclusions and to propose explanations about what they observed. </w:t>
            </w:r>
          </w:p>
          <w:p w:rsidR="00F75F01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E45088" w:rsidRDefault="00E45088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P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454EF0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continue to have misconceptions but may begin to recognize and understand alternative ideas when prompted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Students can begin to make predictions or guesses with guidance</w:t>
            </w: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F75F01" w:rsidRPr="00E45088" w:rsidRDefault="00F75F01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Pr="00BB0AB6" w:rsidRDefault="00BB0AB6" w:rsidP="00F75F01">
            <w:pPr>
              <w:spacing w:line="276" w:lineRule="auto"/>
              <w:rPr>
                <w:sz w:val="16"/>
                <w:szCs w:val="16"/>
              </w:rPr>
            </w:pPr>
          </w:p>
          <w:p w:rsidR="00F75F01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With guidance and structure, student can begin to record observa</w:t>
            </w:r>
            <w:r w:rsidR="00BB0AB6">
              <w:rPr>
                <w:sz w:val="20"/>
                <w:szCs w:val="20"/>
              </w:rPr>
              <w:t>tions using words and sketches</w:t>
            </w:r>
          </w:p>
          <w:p w:rsidR="00BB0AB6" w:rsidRDefault="00BB0AB6" w:rsidP="00F75F01">
            <w:pPr>
              <w:spacing w:line="276" w:lineRule="auto"/>
              <w:rPr>
                <w:sz w:val="16"/>
                <w:szCs w:val="16"/>
              </w:rPr>
            </w:pPr>
          </w:p>
          <w:p w:rsidR="00BB0AB6" w:rsidRDefault="00BB0AB6" w:rsidP="00F75F01">
            <w:pPr>
              <w:spacing w:line="276" w:lineRule="auto"/>
              <w:rPr>
                <w:sz w:val="16"/>
                <w:szCs w:val="16"/>
              </w:rPr>
            </w:pPr>
          </w:p>
          <w:p w:rsidR="00BB0AB6" w:rsidRPr="00BB0AB6" w:rsidRDefault="00BB0AB6" w:rsidP="00F75F01">
            <w:pPr>
              <w:spacing w:line="276" w:lineRule="auto"/>
            </w:pPr>
          </w:p>
          <w:p w:rsidR="00BB0AB6" w:rsidRDefault="00F75F01" w:rsidP="00F75F01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need extensive prompting to draw conclusions or propose explanations about what they have observed. </w:t>
            </w: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BB0AB6" w:rsidRDefault="00BB0AB6" w:rsidP="00F75F01">
            <w:pPr>
              <w:spacing w:line="276" w:lineRule="auto"/>
              <w:rPr>
                <w:sz w:val="20"/>
                <w:szCs w:val="20"/>
              </w:rPr>
            </w:pPr>
          </w:p>
          <w:p w:rsidR="00454EF0" w:rsidRPr="00E45088" w:rsidRDefault="00F75F01" w:rsidP="00BB0AB6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</w:t>
            </w:r>
            <w:r w:rsidR="00BB0AB6">
              <w:rPr>
                <w:sz w:val="20"/>
                <w:szCs w:val="20"/>
              </w:rPr>
              <w:t xml:space="preserve">have </w:t>
            </w:r>
            <w:r w:rsidRPr="00E45088">
              <w:rPr>
                <w:sz w:val="20"/>
                <w:szCs w:val="20"/>
              </w:rPr>
              <w:t>misconceptions about what was learned</w:t>
            </w:r>
            <w:r w:rsidR="00BB0AB6">
              <w:rPr>
                <w:sz w:val="20"/>
                <w:szCs w:val="20"/>
              </w:rPr>
              <w:t xml:space="preserve"> </w:t>
            </w:r>
          </w:p>
        </w:tc>
      </w:tr>
    </w:tbl>
    <w:p w:rsidR="00B00719" w:rsidRPr="00E45088" w:rsidRDefault="00B00719">
      <w:pPr>
        <w:rPr>
          <w:sz w:val="20"/>
          <w:szCs w:val="20"/>
        </w:rPr>
      </w:pPr>
      <w:r w:rsidRPr="00E45088">
        <w:rPr>
          <w:sz w:val="20"/>
          <w:szCs w:val="20"/>
        </w:rPr>
        <w:br w:type="page"/>
      </w:r>
    </w:p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B00719" w:rsidRPr="00E45088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4</w:t>
            </w:r>
          </w:p>
          <w:p w:rsidR="00B00719" w:rsidRPr="00E45088" w:rsidRDefault="00B00719" w:rsidP="00B00719">
            <w:pPr>
              <w:jc w:val="center"/>
              <w:rPr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Exceeds Expectations</w:t>
            </w:r>
          </w:p>
          <w:p w:rsidR="00B00719" w:rsidRPr="00E45088" w:rsidRDefault="00B00719" w:rsidP="00B00719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 Demonstrates with mastery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 xml:space="preserve">3 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Meets Expectations</w:t>
            </w:r>
          </w:p>
          <w:p w:rsidR="00B00719" w:rsidRPr="00E45088" w:rsidRDefault="00B00719" w:rsidP="00B00719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Independently demonstrates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2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Approaching Expectations</w:t>
            </w:r>
          </w:p>
          <w:p w:rsidR="00B00719" w:rsidRPr="00E45088" w:rsidRDefault="00B00719" w:rsidP="00B00719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Demonstrates with support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 xml:space="preserve">1 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b/>
                <w:sz w:val="20"/>
                <w:szCs w:val="20"/>
              </w:rPr>
              <w:t>Does Not Meet Expectations</w:t>
            </w:r>
          </w:p>
          <w:p w:rsidR="00B00719" w:rsidRPr="00E45088" w:rsidRDefault="00B00719" w:rsidP="00B00719">
            <w:pPr>
              <w:jc w:val="center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Not demonstrated at this time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(area of concern)</w:t>
            </w: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</w:p>
          <w:p w:rsidR="00B00719" w:rsidRPr="00E45088" w:rsidRDefault="00B00719" w:rsidP="00B007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719" w:rsidRPr="00E45088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Recognizes the basic characteristics and needs common to all living things</w:t>
            </w:r>
          </w:p>
          <w:p w:rsidR="00B00719" w:rsidRPr="00E45088" w:rsidRDefault="00B00719" w:rsidP="00B00719">
            <w:pPr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Q1 Q3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Students can apply knowledge of the basic characteristics of living things and the needs common to all living things to new situations.  Student is also able to </w:t>
            </w:r>
            <w:r w:rsidR="00BD0FC0">
              <w:rPr>
                <w:sz w:val="20"/>
                <w:szCs w:val="20"/>
              </w:rPr>
              <w:t>compare the needs of various plants and animals</w:t>
            </w:r>
            <w:r w:rsidRPr="00E45088">
              <w:rPr>
                <w:sz w:val="20"/>
                <w:szCs w:val="20"/>
              </w:rPr>
              <w:t xml:space="preserve">  </w:t>
            </w:r>
            <w:r w:rsidR="00BD0FC0">
              <w:rPr>
                <w:sz w:val="20"/>
                <w:szCs w:val="20"/>
              </w:rPr>
              <w:t>(ex. shelters can be different: bear – den, bird – nest)</w:t>
            </w:r>
            <w:r w:rsidRPr="00E45088">
              <w:rPr>
                <w:sz w:val="20"/>
                <w:szCs w:val="20"/>
              </w:rPr>
              <w:t xml:space="preserve"> </w:t>
            </w:r>
          </w:p>
          <w:p w:rsidR="00B00719" w:rsidRPr="00E45088" w:rsidRDefault="00B00719" w:rsidP="00B00719">
            <w:pPr>
              <w:spacing w:line="276" w:lineRule="auto"/>
              <w:rPr>
                <w:sz w:val="20"/>
                <w:szCs w:val="20"/>
              </w:rPr>
            </w:pPr>
          </w:p>
          <w:p w:rsidR="00B00719" w:rsidRPr="00E45088" w:rsidRDefault="00B00719" w:rsidP="00B007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D0FC0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Able to </w:t>
            </w:r>
            <w:r w:rsidR="00BD0FC0">
              <w:rPr>
                <w:sz w:val="20"/>
                <w:szCs w:val="20"/>
              </w:rPr>
              <w:t>identify</w:t>
            </w:r>
            <w:r w:rsidRPr="00E45088">
              <w:rPr>
                <w:sz w:val="20"/>
                <w:szCs w:val="20"/>
              </w:rPr>
              <w:t xml:space="preserve"> the basic characteristics of living things and the needs common to all living things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D0FC0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With assistance is able to </w:t>
            </w:r>
            <w:r w:rsidR="00BD0FC0">
              <w:rPr>
                <w:sz w:val="20"/>
                <w:szCs w:val="20"/>
              </w:rPr>
              <w:t>identify</w:t>
            </w:r>
            <w:r w:rsidRPr="00E45088">
              <w:rPr>
                <w:sz w:val="20"/>
                <w:szCs w:val="20"/>
              </w:rPr>
              <w:t xml:space="preserve"> the basic characteristics of living things and the needs common to all living things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1C32A0" w:rsidP="00BD0F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</w:t>
            </w:r>
            <w:r w:rsidR="00B00719" w:rsidRPr="00E45088">
              <w:rPr>
                <w:sz w:val="20"/>
                <w:szCs w:val="20"/>
              </w:rPr>
              <w:t xml:space="preserve"> </w:t>
            </w:r>
            <w:r w:rsidR="00BD0FC0">
              <w:rPr>
                <w:sz w:val="20"/>
                <w:szCs w:val="20"/>
              </w:rPr>
              <w:t>identify</w:t>
            </w:r>
            <w:r w:rsidR="00B00719" w:rsidRPr="00E45088">
              <w:rPr>
                <w:sz w:val="20"/>
                <w:szCs w:val="20"/>
              </w:rPr>
              <w:t xml:space="preserve"> of the basic characteristics of living things and the needs common to all living things.  May have a number of misconceptions about what is learned</w:t>
            </w:r>
          </w:p>
        </w:tc>
      </w:tr>
      <w:tr w:rsidR="00B00719" w:rsidRPr="00E45088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E07B43">
            <w:pPr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Recognizes cycles that occur in nature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Able to identify and explain the stages </w:t>
            </w:r>
            <w:r w:rsidR="00635F7F">
              <w:rPr>
                <w:sz w:val="20"/>
                <w:szCs w:val="20"/>
              </w:rPr>
              <w:t>of a</w:t>
            </w:r>
            <w:r w:rsidRPr="00E45088">
              <w:rPr>
                <w:sz w:val="20"/>
                <w:szCs w:val="20"/>
              </w:rPr>
              <w:t xml:space="preserve"> cycle</w:t>
            </w:r>
            <w:r w:rsidR="00635F7F">
              <w:rPr>
                <w:sz w:val="20"/>
                <w:szCs w:val="20"/>
              </w:rPr>
              <w:t>(s)</w:t>
            </w:r>
            <w:r w:rsidRPr="00E45088">
              <w:rPr>
                <w:sz w:val="20"/>
                <w:szCs w:val="20"/>
              </w:rPr>
              <w:t xml:space="preserve"> and apply knowledge to other real world occurrences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B00719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>Able to identify the stages of a given cycle in nature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719" w:rsidRPr="00E45088" w:rsidRDefault="00B00719" w:rsidP="00635F7F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With assistance is able to </w:t>
            </w:r>
            <w:r w:rsidR="00635F7F">
              <w:rPr>
                <w:sz w:val="20"/>
                <w:szCs w:val="20"/>
              </w:rPr>
              <w:t>identify the stages of a given cycle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5F7F" w:rsidRDefault="00635F7F" w:rsidP="00B007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identify the stages of a given cycle</w:t>
            </w:r>
          </w:p>
          <w:p w:rsidR="00B00719" w:rsidRPr="00E45088" w:rsidRDefault="00B00719" w:rsidP="00635F7F">
            <w:pPr>
              <w:spacing w:line="276" w:lineRule="auto"/>
              <w:rPr>
                <w:sz w:val="20"/>
                <w:szCs w:val="20"/>
              </w:rPr>
            </w:pPr>
            <w:r w:rsidRPr="00E45088">
              <w:rPr>
                <w:sz w:val="20"/>
                <w:szCs w:val="20"/>
              </w:rPr>
              <w:t xml:space="preserve"> </w:t>
            </w:r>
          </w:p>
        </w:tc>
      </w:tr>
    </w:tbl>
    <w:p w:rsidR="006C6406" w:rsidRPr="00E45088" w:rsidRDefault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p w:rsidR="006C6406" w:rsidRPr="00E45088" w:rsidRDefault="006C6406" w:rsidP="006C6406">
      <w:pPr>
        <w:rPr>
          <w:sz w:val="20"/>
          <w:szCs w:val="20"/>
        </w:rPr>
      </w:pPr>
    </w:p>
    <w:sectPr w:rsidR="006C6406" w:rsidRPr="00E45088" w:rsidSect="00CC070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C0" w:rsidRDefault="00BD0FC0" w:rsidP="00CC0706">
      <w:r>
        <w:separator/>
      </w:r>
    </w:p>
  </w:endnote>
  <w:endnote w:type="continuationSeparator" w:id="0">
    <w:p w:rsidR="00BD0FC0" w:rsidRDefault="00BD0FC0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C0" w:rsidRPr="006C6406" w:rsidRDefault="00737AB1" w:rsidP="00E940F6">
    <w:pPr>
      <w:pStyle w:val="Footer"/>
      <w:jc w:val="right"/>
    </w:pPr>
    <w:r>
      <w:t>8/8/</w:t>
    </w:r>
    <w:proofErr w:type="gramStart"/>
    <w:r>
      <w:t xml:space="preserve">12 </w:t>
    </w:r>
    <w:r w:rsidR="00BD0FC0">
      <w:t xml:space="preserve"> -</w:t>
    </w:r>
    <w:proofErr w:type="gramEnd"/>
    <w:r w:rsidR="00BD0FC0">
      <w:t xml:space="preserve"> </w:t>
    </w:r>
    <w:proofErr w:type="spellStart"/>
    <w:r w:rsidR="00BD0FC0">
      <w:t>sm</w:t>
    </w:r>
    <w:proofErr w:type="spellEnd"/>
  </w:p>
  <w:p w:rsidR="00BD0FC0" w:rsidRDefault="00BD0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C0" w:rsidRDefault="00BD0FC0" w:rsidP="00CC0706">
      <w:r>
        <w:separator/>
      </w:r>
    </w:p>
  </w:footnote>
  <w:footnote w:type="continuationSeparator" w:id="0">
    <w:p w:rsidR="00BD0FC0" w:rsidRDefault="00BD0FC0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4494C5B3D47433C9973F50920AECD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0FC0" w:rsidRDefault="00BD0F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Grade:    1    Vestal Scoring Guide for Teachers       Subject: Science </w:t>
        </w:r>
      </w:p>
    </w:sdtContent>
  </w:sdt>
  <w:p w:rsidR="00BD0FC0" w:rsidRPr="00B00719" w:rsidRDefault="00BD0FC0" w:rsidP="00B00719">
    <w:pPr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24410"/>
    <w:rsid w:val="00130934"/>
    <w:rsid w:val="00170EC0"/>
    <w:rsid w:val="001C32A0"/>
    <w:rsid w:val="00285768"/>
    <w:rsid w:val="002F3557"/>
    <w:rsid w:val="00302B89"/>
    <w:rsid w:val="00347532"/>
    <w:rsid w:val="003C568C"/>
    <w:rsid w:val="003D0822"/>
    <w:rsid w:val="003D623D"/>
    <w:rsid w:val="003E7E20"/>
    <w:rsid w:val="00432B59"/>
    <w:rsid w:val="00437A2D"/>
    <w:rsid w:val="00454EF0"/>
    <w:rsid w:val="005B0E78"/>
    <w:rsid w:val="0060647E"/>
    <w:rsid w:val="00613EAD"/>
    <w:rsid w:val="00635F7F"/>
    <w:rsid w:val="006C0532"/>
    <w:rsid w:val="006C6406"/>
    <w:rsid w:val="006E744E"/>
    <w:rsid w:val="00737AB1"/>
    <w:rsid w:val="00793ED4"/>
    <w:rsid w:val="007A2CFA"/>
    <w:rsid w:val="007D71FF"/>
    <w:rsid w:val="0087719A"/>
    <w:rsid w:val="008B3026"/>
    <w:rsid w:val="008F2AD0"/>
    <w:rsid w:val="009331A7"/>
    <w:rsid w:val="00985064"/>
    <w:rsid w:val="0099623C"/>
    <w:rsid w:val="009B15D6"/>
    <w:rsid w:val="00A53534"/>
    <w:rsid w:val="00B00719"/>
    <w:rsid w:val="00B57095"/>
    <w:rsid w:val="00BA568A"/>
    <w:rsid w:val="00BB0AB6"/>
    <w:rsid w:val="00BD0FC0"/>
    <w:rsid w:val="00BF7FC8"/>
    <w:rsid w:val="00C2587E"/>
    <w:rsid w:val="00C503A1"/>
    <w:rsid w:val="00CC0706"/>
    <w:rsid w:val="00CE0AAC"/>
    <w:rsid w:val="00D601E3"/>
    <w:rsid w:val="00E07B43"/>
    <w:rsid w:val="00E1081A"/>
    <w:rsid w:val="00E15394"/>
    <w:rsid w:val="00E37AAB"/>
    <w:rsid w:val="00E45088"/>
    <w:rsid w:val="00E73C1B"/>
    <w:rsid w:val="00E940F6"/>
    <w:rsid w:val="00F75F01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94C5B3D47433C9973F50920AE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AD1D-67EB-4559-93A8-4A3FD2F0E824}"/>
      </w:docPartPr>
      <w:docPartBody>
        <w:p w:rsidR="00CD5CDA" w:rsidRDefault="00395390" w:rsidP="00395390">
          <w:pPr>
            <w:pStyle w:val="04494C5B3D47433C9973F50920AECD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95390"/>
    <w:rsid w:val="002D497E"/>
    <w:rsid w:val="00395390"/>
    <w:rsid w:val="006E0E13"/>
    <w:rsid w:val="0099555E"/>
    <w:rsid w:val="00CD5CDA"/>
    <w:rsid w:val="00D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94C5B3D47433C9973F50920AECD12">
    <w:name w:val="04494C5B3D47433C9973F50920AECD12"/>
    <w:rsid w:val="003953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1    Vestal Scoring Guide for Teachers       Subject: Science </vt:lpstr>
    </vt:vector>
  </TitlesOfParts>
  <Company>Vestal Central School District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1    Vestal Scoring Guide for Teachers       Subject: Science </dc:title>
  <dc:subject/>
  <dc:creator>Info Tech</dc:creator>
  <cp:keywords/>
  <dc:description/>
  <cp:lastModifiedBy>Soni Murphy</cp:lastModifiedBy>
  <cp:revision>3</cp:revision>
  <dcterms:created xsi:type="dcterms:W3CDTF">2012-08-08T15:10:00Z</dcterms:created>
  <dcterms:modified xsi:type="dcterms:W3CDTF">2012-08-09T14:17:00Z</dcterms:modified>
</cp:coreProperties>
</file>